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6470" w:rsidRPr="00DE6470" w:rsidRDefault="00DE6470" w:rsidP="0011591E">
      <w:pPr>
        <w:pStyle w:val="a3"/>
        <w:shd w:val="clear" w:color="auto" w:fill="FFFFFF"/>
        <w:spacing w:before="0" w:beforeAutospacing="0" w:after="210" w:afterAutospacing="0" w:line="375" w:lineRule="atLeast"/>
        <w:rPr>
          <w:b/>
          <w:bCs/>
          <w:color w:val="262626"/>
          <w:spacing w:val="-6"/>
        </w:rPr>
      </w:pPr>
      <w:r>
        <w:rPr>
          <w:rFonts w:ascii="Helvetica" w:hAnsi="Helvetica" w:cs="Helvetica"/>
          <w:color w:val="262626"/>
          <w:spacing w:val="-6"/>
        </w:rPr>
        <w:t xml:space="preserve">   </w:t>
      </w:r>
      <w:r w:rsidRPr="00DE6470">
        <w:rPr>
          <w:b/>
          <w:bCs/>
          <w:color w:val="262626"/>
          <w:spacing w:val="-6"/>
        </w:rPr>
        <w:t>Юридические лица</w:t>
      </w:r>
      <w:bookmarkStart w:id="0" w:name="_GoBack"/>
      <w:bookmarkEnd w:id="0"/>
    </w:p>
    <w:p w:rsidR="009A1066" w:rsidRDefault="009A1066" w:rsidP="009A10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262626"/>
          <w:spacing w:val="-6"/>
        </w:rPr>
      </w:pPr>
      <w:r>
        <w:rPr>
          <w:color w:val="262626"/>
          <w:spacing w:val="-6"/>
        </w:rPr>
        <w:t xml:space="preserve">   </w:t>
      </w:r>
      <w:r w:rsidR="00DE6470" w:rsidRPr="00B96C0F">
        <w:rPr>
          <w:color w:val="262626"/>
          <w:spacing w:val="-6"/>
        </w:rPr>
        <w:t>Определение объемов электроэнергии, подлежащих оплате в расчетном периоде, осуществляется на основании показаний приборов учета, установленных в отношении энергопринимающих устройств потребителя.</w:t>
      </w:r>
    </w:p>
    <w:p w:rsidR="00DE6470" w:rsidRPr="00B96C0F" w:rsidRDefault="009A1066" w:rsidP="009A10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262626"/>
          <w:spacing w:val="-6"/>
        </w:rPr>
      </w:pPr>
      <w:r>
        <w:rPr>
          <w:color w:val="262626"/>
          <w:spacing w:val="-6"/>
        </w:rPr>
        <w:t xml:space="preserve">   </w:t>
      </w:r>
      <w:r w:rsidR="00DE6470" w:rsidRPr="00B96C0F">
        <w:rPr>
          <w:color w:val="262626"/>
          <w:spacing w:val="-6"/>
        </w:rPr>
        <w:t>Однако</w:t>
      </w:r>
      <w:r>
        <w:rPr>
          <w:color w:val="262626"/>
          <w:spacing w:val="-6"/>
        </w:rPr>
        <w:t xml:space="preserve"> </w:t>
      </w:r>
      <w:r w:rsidR="00DE6470" w:rsidRPr="00B96C0F">
        <w:rPr>
          <w:color w:val="262626"/>
          <w:spacing w:val="-6"/>
        </w:rPr>
        <w:t>в ряде случаев для определения объемов электроэнергии, подлежащих оплате в расчетном периоде, используются расчётные способы. </w:t>
      </w:r>
    </w:p>
    <w:p w:rsidR="00DE6470" w:rsidRPr="00B96C0F" w:rsidRDefault="009A1066" w:rsidP="009A1066">
      <w:pPr>
        <w:pStyle w:val="a3"/>
        <w:shd w:val="clear" w:color="auto" w:fill="FFFFFF"/>
        <w:spacing w:before="0" w:beforeAutospacing="0" w:after="210" w:afterAutospacing="0" w:line="360" w:lineRule="auto"/>
        <w:jc w:val="both"/>
        <w:rPr>
          <w:color w:val="262626"/>
          <w:spacing w:val="-6"/>
        </w:rPr>
      </w:pPr>
      <w:r>
        <w:rPr>
          <w:color w:val="262626"/>
          <w:spacing w:val="-6"/>
        </w:rPr>
        <w:t xml:space="preserve">  </w:t>
      </w:r>
      <w:r w:rsidR="00DE6470" w:rsidRPr="00B96C0F">
        <w:rPr>
          <w:color w:val="262626"/>
          <w:spacing w:val="-6"/>
        </w:rPr>
        <w:t>В соответствии с Основными положениями функционирования розничных рынков электрической энергии, утвержденными постановлением Правительства РФ от 04.05.2012 № 442 (далее – Основные положения), определение объема потребления электрической энергии с применением расчетных способов осуществляется в следующих случаях:</w:t>
      </w:r>
    </w:p>
    <w:p w:rsidR="00DE6470" w:rsidRPr="009A1066" w:rsidRDefault="00DE6470" w:rsidP="009A1066">
      <w:pPr>
        <w:pStyle w:val="a4"/>
        <w:numPr>
          <w:ilvl w:val="0"/>
          <w:numId w:val="18"/>
        </w:numPr>
        <w:shd w:val="clear" w:color="auto" w:fill="FFFFFF"/>
        <w:spacing w:after="105" w:line="360" w:lineRule="auto"/>
        <w:jc w:val="both"/>
        <w:rPr>
          <w:rFonts w:ascii="Times New Roman" w:hAnsi="Times New Roman" w:cs="Times New Roman"/>
          <w:color w:val="212529"/>
          <w:spacing w:val="-6"/>
          <w:sz w:val="24"/>
          <w:szCs w:val="24"/>
        </w:rPr>
      </w:pPr>
      <w:r w:rsidRPr="009A1066">
        <w:rPr>
          <w:rFonts w:ascii="Times New Roman" w:hAnsi="Times New Roman" w:cs="Times New Roman"/>
          <w:color w:val="212529"/>
          <w:spacing w:val="-6"/>
          <w:sz w:val="24"/>
          <w:szCs w:val="24"/>
        </w:rPr>
        <w:t>в случае непредставления потребителем показаний расчетного прибора учета в установленные сроки (п. 179 Основных положений);</w:t>
      </w:r>
    </w:p>
    <w:p w:rsidR="00DE6470" w:rsidRPr="00B96C0F" w:rsidRDefault="009A1066" w:rsidP="009A1066">
      <w:pPr>
        <w:numPr>
          <w:ilvl w:val="0"/>
          <w:numId w:val="18"/>
        </w:numPr>
        <w:shd w:val="clear" w:color="auto" w:fill="FFFFFF"/>
        <w:spacing w:after="105" w:line="360" w:lineRule="auto"/>
        <w:ind w:left="900"/>
        <w:jc w:val="both"/>
        <w:rPr>
          <w:rFonts w:ascii="Times New Roman" w:hAnsi="Times New Roman" w:cs="Times New Roman"/>
          <w:color w:val="212529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212529"/>
          <w:spacing w:val="-6"/>
          <w:sz w:val="24"/>
          <w:szCs w:val="24"/>
        </w:rPr>
        <w:t xml:space="preserve"> </w:t>
      </w:r>
      <w:r w:rsidR="00DE6470" w:rsidRPr="00B96C0F">
        <w:rPr>
          <w:rFonts w:ascii="Times New Roman" w:hAnsi="Times New Roman" w:cs="Times New Roman"/>
          <w:color w:val="212529"/>
          <w:spacing w:val="-6"/>
          <w:sz w:val="24"/>
          <w:szCs w:val="24"/>
        </w:rPr>
        <w:t xml:space="preserve">в случае неисправности, утраты или истечения срока </w:t>
      </w:r>
      <w:proofErr w:type="spellStart"/>
      <w:r w:rsidR="00DE6470" w:rsidRPr="00B96C0F">
        <w:rPr>
          <w:rFonts w:ascii="Times New Roman" w:hAnsi="Times New Roman" w:cs="Times New Roman"/>
          <w:color w:val="212529"/>
          <w:spacing w:val="-6"/>
          <w:sz w:val="24"/>
          <w:szCs w:val="24"/>
        </w:rPr>
        <w:t>межповерочного</w:t>
      </w:r>
      <w:proofErr w:type="spellEnd"/>
      <w:r w:rsidR="00DE6470" w:rsidRPr="00B96C0F">
        <w:rPr>
          <w:rFonts w:ascii="Times New Roman" w:hAnsi="Times New Roman" w:cs="Times New Roman"/>
          <w:color w:val="212529"/>
          <w:spacing w:val="-6"/>
          <w:sz w:val="24"/>
          <w:szCs w:val="24"/>
        </w:rPr>
        <w:t xml:space="preserve"> интервала расчетного прибора учета либо его демонтажа в связи с поверкой, ремонтом или заменой (п. 179 Основных положений);</w:t>
      </w:r>
    </w:p>
    <w:p w:rsidR="00DE6470" w:rsidRPr="00B96C0F" w:rsidRDefault="009A1066" w:rsidP="009A1066">
      <w:pPr>
        <w:numPr>
          <w:ilvl w:val="0"/>
          <w:numId w:val="18"/>
        </w:numPr>
        <w:shd w:val="clear" w:color="auto" w:fill="FFFFFF"/>
        <w:spacing w:after="105" w:line="360" w:lineRule="auto"/>
        <w:ind w:left="900"/>
        <w:jc w:val="both"/>
        <w:rPr>
          <w:rFonts w:ascii="Times New Roman" w:hAnsi="Times New Roman" w:cs="Times New Roman"/>
          <w:color w:val="212529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212529"/>
          <w:spacing w:val="-6"/>
          <w:sz w:val="24"/>
          <w:szCs w:val="24"/>
        </w:rPr>
        <w:t xml:space="preserve"> </w:t>
      </w:r>
      <w:r w:rsidR="00DE6470" w:rsidRPr="00B96C0F">
        <w:rPr>
          <w:rFonts w:ascii="Times New Roman" w:hAnsi="Times New Roman" w:cs="Times New Roman"/>
          <w:color w:val="212529"/>
          <w:spacing w:val="-6"/>
          <w:sz w:val="24"/>
          <w:szCs w:val="24"/>
        </w:rPr>
        <w:t>в случае двукратного недопуска к расчетному прибору учета, установленному в границах энергопринимающих устройств потребителя, для проведения контрольного снятия показаний или проведения проверки приборов учета (п. 182 Основных положений);</w:t>
      </w:r>
    </w:p>
    <w:p w:rsidR="00DE6470" w:rsidRPr="00B96C0F" w:rsidRDefault="009A1066" w:rsidP="009A1066">
      <w:pPr>
        <w:numPr>
          <w:ilvl w:val="0"/>
          <w:numId w:val="18"/>
        </w:numPr>
        <w:shd w:val="clear" w:color="auto" w:fill="FFFFFF"/>
        <w:spacing w:after="105" w:line="360" w:lineRule="auto"/>
        <w:ind w:left="900"/>
        <w:jc w:val="both"/>
        <w:rPr>
          <w:rFonts w:ascii="Times New Roman" w:hAnsi="Times New Roman" w:cs="Times New Roman"/>
          <w:color w:val="212529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212529"/>
          <w:spacing w:val="-6"/>
          <w:sz w:val="24"/>
          <w:szCs w:val="24"/>
        </w:rPr>
        <w:t xml:space="preserve"> </w:t>
      </w:r>
      <w:r w:rsidR="00DE6470" w:rsidRPr="00B96C0F">
        <w:rPr>
          <w:rFonts w:ascii="Times New Roman" w:hAnsi="Times New Roman" w:cs="Times New Roman"/>
          <w:color w:val="212529"/>
          <w:spacing w:val="-6"/>
          <w:sz w:val="24"/>
          <w:szCs w:val="24"/>
        </w:rPr>
        <w:t>в случае отсутствия прибора учета, если иное не установлено в п. 179 Основных положений, вплоть до даты допуска прибора учета в эксплуатацию (п. 181 Основных положений):</w:t>
      </w:r>
    </w:p>
    <w:p w:rsidR="00DE6470" w:rsidRPr="00B96C0F" w:rsidRDefault="009A1066" w:rsidP="009A1066">
      <w:pPr>
        <w:numPr>
          <w:ilvl w:val="0"/>
          <w:numId w:val="18"/>
        </w:numPr>
        <w:shd w:val="clear" w:color="auto" w:fill="FFFFFF"/>
        <w:spacing w:after="105" w:line="360" w:lineRule="auto"/>
        <w:ind w:left="900"/>
        <w:jc w:val="both"/>
        <w:rPr>
          <w:rFonts w:ascii="Times New Roman" w:hAnsi="Times New Roman" w:cs="Times New Roman"/>
          <w:color w:val="212529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212529"/>
          <w:spacing w:val="-6"/>
          <w:sz w:val="24"/>
          <w:szCs w:val="24"/>
        </w:rPr>
        <w:t xml:space="preserve"> </w:t>
      </w:r>
      <w:r w:rsidR="00DE6470" w:rsidRPr="00B96C0F">
        <w:rPr>
          <w:rFonts w:ascii="Times New Roman" w:hAnsi="Times New Roman" w:cs="Times New Roman"/>
          <w:color w:val="212529"/>
          <w:spacing w:val="-6"/>
          <w:sz w:val="24"/>
          <w:szCs w:val="24"/>
        </w:rPr>
        <w:t>в случае выявления </w:t>
      </w:r>
      <w:proofErr w:type="spellStart"/>
      <w:r w:rsidR="00DE6470" w:rsidRPr="00B96C0F">
        <w:rPr>
          <w:rFonts w:ascii="Times New Roman" w:hAnsi="Times New Roman" w:cs="Times New Roman"/>
          <w:color w:val="212529"/>
          <w:spacing w:val="-6"/>
          <w:sz w:val="24"/>
          <w:szCs w:val="24"/>
        </w:rPr>
        <w:t>безучетного</w:t>
      </w:r>
      <w:proofErr w:type="spellEnd"/>
      <w:r w:rsidR="00DE6470" w:rsidRPr="00B96C0F">
        <w:rPr>
          <w:rFonts w:ascii="Times New Roman" w:hAnsi="Times New Roman" w:cs="Times New Roman"/>
          <w:color w:val="212529"/>
          <w:spacing w:val="-6"/>
          <w:sz w:val="24"/>
          <w:szCs w:val="24"/>
        </w:rPr>
        <w:t xml:space="preserve"> и бездоговорного потребления электрической энергии (п. 187 Основных положений).</w:t>
      </w:r>
    </w:p>
    <w:p w:rsidR="00DE6470" w:rsidRPr="00B96C0F" w:rsidRDefault="009A1066" w:rsidP="009A1066">
      <w:pPr>
        <w:pStyle w:val="a3"/>
        <w:shd w:val="clear" w:color="auto" w:fill="FFFFFF"/>
        <w:spacing w:before="0" w:beforeAutospacing="0" w:after="210" w:afterAutospacing="0" w:line="360" w:lineRule="auto"/>
        <w:jc w:val="both"/>
        <w:rPr>
          <w:color w:val="262626"/>
          <w:spacing w:val="-6"/>
        </w:rPr>
      </w:pPr>
      <w:r>
        <w:rPr>
          <w:color w:val="262626"/>
          <w:spacing w:val="-6"/>
        </w:rPr>
        <w:t xml:space="preserve">   </w:t>
      </w:r>
      <w:r w:rsidR="00DE6470" w:rsidRPr="00B96C0F">
        <w:rPr>
          <w:color w:val="262626"/>
          <w:spacing w:val="-6"/>
        </w:rPr>
        <w:t xml:space="preserve">При наступлении оснований, указанных в </w:t>
      </w:r>
      <w:proofErr w:type="spellStart"/>
      <w:r w:rsidR="00DE6470" w:rsidRPr="00B96C0F">
        <w:rPr>
          <w:color w:val="262626"/>
          <w:spacing w:val="-6"/>
        </w:rPr>
        <w:t>п.п</w:t>
      </w:r>
      <w:proofErr w:type="spellEnd"/>
      <w:r w:rsidR="00DE6470" w:rsidRPr="00B96C0F">
        <w:rPr>
          <w:color w:val="262626"/>
          <w:spacing w:val="-6"/>
        </w:rPr>
        <w:t>. 1 и 2 настоящего информационного сообщения, расчет объема потребления электрической энергии осуществляется в следующем порядке:</w:t>
      </w:r>
    </w:p>
    <w:p w:rsidR="00DE6470" w:rsidRPr="00B96C0F" w:rsidRDefault="00DE6470" w:rsidP="009A1066">
      <w:pPr>
        <w:numPr>
          <w:ilvl w:val="0"/>
          <w:numId w:val="19"/>
        </w:numPr>
        <w:shd w:val="clear" w:color="auto" w:fill="FFFFFF"/>
        <w:spacing w:after="105" w:line="360" w:lineRule="auto"/>
        <w:ind w:left="900"/>
        <w:jc w:val="both"/>
        <w:rPr>
          <w:rFonts w:ascii="Times New Roman" w:hAnsi="Times New Roman" w:cs="Times New Roman"/>
          <w:color w:val="212529"/>
          <w:spacing w:val="-6"/>
          <w:sz w:val="24"/>
          <w:szCs w:val="24"/>
        </w:rPr>
      </w:pPr>
      <w:r w:rsidRPr="00B96C0F">
        <w:rPr>
          <w:rFonts w:ascii="Times New Roman" w:hAnsi="Times New Roman" w:cs="Times New Roman"/>
          <w:color w:val="212529"/>
          <w:spacing w:val="-6"/>
          <w:sz w:val="24"/>
          <w:szCs w:val="24"/>
        </w:rPr>
        <w:t>при наличии контрольного прибора учета используются его показания;</w:t>
      </w:r>
    </w:p>
    <w:p w:rsidR="00DE6470" w:rsidRPr="00B96C0F" w:rsidRDefault="00DE6470" w:rsidP="009A1066">
      <w:pPr>
        <w:numPr>
          <w:ilvl w:val="0"/>
          <w:numId w:val="19"/>
        </w:numPr>
        <w:shd w:val="clear" w:color="auto" w:fill="FFFFFF"/>
        <w:spacing w:after="105" w:line="360" w:lineRule="auto"/>
        <w:ind w:left="900"/>
        <w:jc w:val="both"/>
        <w:rPr>
          <w:rFonts w:ascii="Times New Roman" w:hAnsi="Times New Roman" w:cs="Times New Roman"/>
          <w:color w:val="212529"/>
          <w:spacing w:val="-6"/>
          <w:sz w:val="24"/>
          <w:szCs w:val="24"/>
        </w:rPr>
      </w:pPr>
      <w:r w:rsidRPr="00B96C0F">
        <w:rPr>
          <w:rFonts w:ascii="Times New Roman" w:hAnsi="Times New Roman" w:cs="Times New Roman"/>
          <w:color w:val="212529"/>
          <w:spacing w:val="-6"/>
          <w:sz w:val="24"/>
          <w:szCs w:val="24"/>
        </w:rPr>
        <w:t>при отсутствии контрольного прибора учета:</w:t>
      </w:r>
    </w:p>
    <w:p w:rsidR="00DE6470" w:rsidRPr="00B96C0F" w:rsidRDefault="009A1066" w:rsidP="009A1066">
      <w:pPr>
        <w:shd w:val="clear" w:color="auto" w:fill="FFFFFF"/>
        <w:spacing w:after="105" w:line="360" w:lineRule="auto"/>
        <w:jc w:val="both"/>
        <w:rPr>
          <w:rFonts w:ascii="Times New Roman" w:hAnsi="Times New Roman" w:cs="Times New Roman"/>
          <w:color w:val="212529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212529"/>
          <w:spacing w:val="-6"/>
          <w:sz w:val="24"/>
          <w:szCs w:val="24"/>
        </w:rPr>
        <w:t>- Р</w:t>
      </w:r>
      <w:r w:rsidR="00DE6470" w:rsidRPr="00B96C0F">
        <w:rPr>
          <w:rFonts w:ascii="Times New Roman" w:hAnsi="Times New Roman" w:cs="Times New Roman"/>
          <w:color w:val="212529"/>
          <w:spacing w:val="-6"/>
          <w:sz w:val="24"/>
          <w:szCs w:val="24"/>
        </w:rPr>
        <w:t>асчет осуществляется на основании замещающей информации - показаний расчетного прибора учета за аналогичный расчетный период предыдущего года, а при отсутствии данных - показаний расчетного прибора учета за ближайший расчетный период, когда такие показания имелись.</w:t>
      </w:r>
    </w:p>
    <w:p w:rsidR="00DE6470" w:rsidRPr="00B96C0F" w:rsidRDefault="009A1066" w:rsidP="009A1066">
      <w:pPr>
        <w:shd w:val="clear" w:color="auto" w:fill="FFFFFF"/>
        <w:spacing w:after="105" w:line="360" w:lineRule="auto"/>
        <w:jc w:val="both"/>
        <w:rPr>
          <w:rFonts w:ascii="Times New Roman" w:hAnsi="Times New Roman" w:cs="Times New Roman"/>
          <w:color w:val="212529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212529"/>
          <w:spacing w:val="-6"/>
          <w:sz w:val="24"/>
          <w:szCs w:val="24"/>
        </w:rPr>
        <w:lastRenderedPageBreak/>
        <w:t xml:space="preserve">- </w:t>
      </w:r>
      <w:r w:rsidR="00DE6470" w:rsidRPr="00B96C0F">
        <w:rPr>
          <w:rFonts w:ascii="Times New Roman" w:hAnsi="Times New Roman" w:cs="Times New Roman"/>
          <w:color w:val="212529"/>
          <w:spacing w:val="-6"/>
          <w:sz w:val="24"/>
          <w:szCs w:val="24"/>
        </w:rPr>
        <w:t>В случае если в результате поверки прибора учета электрической энергии в порядке, установленном законодательством Российской Федерации об обеспечении единства измерений, не подтверждено его соответствие метрологическим требованиям, то объем потребления электрической энергии (мощности) на розничных рынках, оказанных услуг по передаче электрической энергии, а также фактических потерь электрической энергии в объектах электросетевого хозяйства, ранее определенный на основании показаний такого прибора учета электрической энергии с истекшим интервалом между поверками, подлежит перерасчету с применением расчетных способов.</w:t>
      </w:r>
    </w:p>
    <w:p w:rsidR="0011591E" w:rsidRDefault="0011591E" w:rsidP="009A10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6C0F">
        <w:rPr>
          <w:rFonts w:ascii="Times New Roman" w:hAnsi="Times New Roman" w:cs="Times New Roman"/>
          <w:color w:val="212529"/>
          <w:spacing w:val="-6"/>
          <w:sz w:val="24"/>
          <w:szCs w:val="24"/>
        </w:rPr>
        <w:br/>
      </w:r>
    </w:p>
    <w:sectPr w:rsidR="0011591E" w:rsidSect="008A6B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E1142"/>
    <w:multiLevelType w:val="hybridMultilevel"/>
    <w:tmpl w:val="48B84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1736"/>
    <w:multiLevelType w:val="multilevel"/>
    <w:tmpl w:val="35B6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73225"/>
    <w:multiLevelType w:val="multilevel"/>
    <w:tmpl w:val="DFE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522AE"/>
    <w:multiLevelType w:val="multilevel"/>
    <w:tmpl w:val="6B80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B3A98"/>
    <w:multiLevelType w:val="hybridMultilevel"/>
    <w:tmpl w:val="E96C6208"/>
    <w:lvl w:ilvl="0" w:tplc="0FA23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ACA6478"/>
    <w:multiLevelType w:val="multilevel"/>
    <w:tmpl w:val="51A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B645D"/>
    <w:multiLevelType w:val="multilevel"/>
    <w:tmpl w:val="28DC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D7FEA"/>
    <w:multiLevelType w:val="multilevel"/>
    <w:tmpl w:val="3118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50A6E"/>
    <w:multiLevelType w:val="multilevel"/>
    <w:tmpl w:val="80F4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5121E9"/>
    <w:multiLevelType w:val="multilevel"/>
    <w:tmpl w:val="3370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0460F"/>
    <w:multiLevelType w:val="multilevel"/>
    <w:tmpl w:val="C68C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B4728"/>
    <w:multiLevelType w:val="multilevel"/>
    <w:tmpl w:val="5414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E81384"/>
    <w:multiLevelType w:val="hybridMultilevel"/>
    <w:tmpl w:val="E96C6208"/>
    <w:lvl w:ilvl="0" w:tplc="0FA23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0C34900"/>
    <w:multiLevelType w:val="multilevel"/>
    <w:tmpl w:val="AEF2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8A69CD"/>
    <w:multiLevelType w:val="multilevel"/>
    <w:tmpl w:val="77B8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864B6"/>
    <w:multiLevelType w:val="multilevel"/>
    <w:tmpl w:val="AE80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6A474E"/>
    <w:multiLevelType w:val="multilevel"/>
    <w:tmpl w:val="7EB4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A7784"/>
    <w:multiLevelType w:val="multilevel"/>
    <w:tmpl w:val="996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52F9F"/>
    <w:multiLevelType w:val="hybridMultilevel"/>
    <w:tmpl w:val="472EFC9C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C267E23"/>
    <w:multiLevelType w:val="multilevel"/>
    <w:tmpl w:val="A25A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0"/>
  </w:num>
  <w:num w:numId="5">
    <w:abstractNumId w:val="18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16"/>
  </w:num>
  <w:num w:numId="11">
    <w:abstractNumId w:val="9"/>
  </w:num>
  <w:num w:numId="12">
    <w:abstractNumId w:val="8"/>
  </w:num>
  <w:num w:numId="13">
    <w:abstractNumId w:val="4"/>
  </w:num>
  <w:num w:numId="14">
    <w:abstractNumId w:val="6"/>
  </w:num>
  <w:num w:numId="15">
    <w:abstractNumId w:val="2"/>
  </w:num>
  <w:num w:numId="16">
    <w:abstractNumId w:val="7"/>
  </w:num>
  <w:num w:numId="17">
    <w:abstractNumId w:val="19"/>
  </w:num>
  <w:num w:numId="18">
    <w:abstractNumId w:val="1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8B"/>
    <w:rsid w:val="00011BB6"/>
    <w:rsid w:val="000676FC"/>
    <w:rsid w:val="0007057B"/>
    <w:rsid w:val="000E54DD"/>
    <w:rsid w:val="00101018"/>
    <w:rsid w:val="00112713"/>
    <w:rsid w:val="0011591E"/>
    <w:rsid w:val="001B53A4"/>
    <w:rsid w:val="00236470"/>
    <w:rsid w:val="002511B2"/>
    <w:rsid w:val="002760E5"/>
    <w:rsid w:val="003E17BA"/>
    <w:rsid w:val="00477EB1"/>
    <w:rsid w:val="004F3F1E"/>
    <w:rsid w:val="00823ED3"/>
    <w:rsid w:val="00832969"/>
    <w:rsid w:val="00850807"/>
    <w:rsid w:val="008A6B6E"/>
    <w:rsid w:val="008D4C8D"/>
    <w:rsid w:val="009A1066"/>
    <w:rsid w:val="00A80CC1"/>
    <w:rsid w:val="00AA2D6E"/>
    <w:rsid w:val="00AB24C2"/>
    <w:rsid w:val="00AF7308"/>
    <w:rsid w:val="00B96C0F"/>
    <w:rsid w:val="00BE6BE4"/>
    <w:rsid w:val="00C355F1"/>
    <w:rsid w:val="00CA0881"/>
    <w:rsid w:val="00DD34A5"/>
    <w:rsid w:val="00DE498B"/>
    <w:rsid w:val="00DE6470"/>
    <w:rsid w:val="00E4281E"/>
    <w:rsid w:val="00E51F7B"/>
    <w:rsid w:val="00E6622B"/>
    <w:rsid w:val="00E72390"/>
    <w:rsid w:val="00E95BDC"/>
    <w:rsid w:val="00E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33E4"/>
  <w15:chartTrackingRefBased/>
  <w15:docId w15:val="{EADD0A2D-BC9A-4CED-92C6-F60E2258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969"/>
  </w:style>
  <w:style w:type="paragraph" w:styleId="1">
    <w:name w:val="heading 1"/>
    <w:basedOn w:val="a"/>
    <w:next w:val="a"/>
    <w:link w:val="10"/>
    <w:qFormat/>
    <w:rsid w:val="00E428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8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AF73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F7308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styleId="a3">
    <w:name w:val="Normal (Web)"/>
    <w:basedOn w:val="a"/>
    <w:uiPriority w:val="99"/>
    <w:unhideWhenUsed/>
    <w:rsid w:val="0007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55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281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28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4281E"/>
    <w:rPr>
      <w:color w:val="0563C1" w:themeColor="hyperlink"/>
      <w:u w:val="single"/>
    </w:rPr>
  </w:style>
  <w:style w:type="paragraph" w:customStyle="1" w:styleId="a6">
    <w:name w:val="Заголовок статьи"/>
    <w:basedOn w:val="a"/>
    <w:next w:val="a"/>
    <w:uiPriority w:val="99"/>
    <w:rsid w:val="00E4281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E132-71B4-46AB-AB59-A6EB8BEE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Циттель Лилия Федоровна</dc:creator>
  <cp:keywords/>
  <dc:description/>
  <cp:lastModifiedBy>Лилия lv. Выходцева</cp:lastModifiedBy>
  <cp:revision>2</cp:revision>
  <dcterms:created xsi:type="dcterms:W3CDTF">2024-02-26T07:35:00Z</dcterms:created>
  <dcterms:modified xsi:type="dcterms:W3CDTF">2024-02-26T07:35:00Z</dcterms:modified>
</cp:coreProperties>
</file>